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C3" w:rsidRDefault="00A3025F" w:rsidP="00EC58C3">
      <w:pPr>
        <w:spacing w:before="100" w:beforeAutospacing="1" w:after="100" w:afterAutospacing="1" w:line="264" w:lineRule="auto"/>
        <w:ind w:left="-851" w:right="-709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ED163F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Mandala</w:t>
      </w:r>
    </w:p>
    <w:p w:rsidR="00A3025F" w:rsidRPr="00ED163F" w:rsidRDefault="00ED163F" w:rsidP="00EC58C3">
      <w:pPr>
        <w:spacing w:before="100" w:beforeAutospacing="1" w:after="100" w:afterAutospacing="1" w:line="264" w:lineRule="auto"/>
        <w:ind w:left="-851" w:right="-709"/>
        <w:outlineLvl w:val="0"/>
        <w:rPr>
          <w:rFonts w:eastAsia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122999" cy="2122999"/>
            <wp:effectExtent l="19050" t="0" r="0" b="0"/>
            <wp:docPr id="1" name="obrázek 1" descr="http://www.andrash.it/mandala/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rash.it/mandala/mand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80" cy="212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   </w:t>
      </w:r>
      <w:r w:rsidR="00EA62C0" w:rsidRPr="00ED163F">
        <w:rPr>
          <w:rFonts w:cs="Lucida Sans Unicode"/>
          <w:noProof/>
          <w:lang w:eastAsia="cs-CZ"/>
        </w:rPr>
        <w:drawing>
          <wp:inline distT="0" distB="0" distL="0" distR="0">
            <wp:extent cx="2167559" cy="2167559"/>
            <wp:effectExtent l="19050" t="0" r="4141" b="0"/>
            <wp:docPr id="13" name="obrázek 13" descr="Kálačakra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álačakra manda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98" cy="216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8C3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 </w:t>
      </w:r>
      <w:r w:rsidR="00A3025F" w:rsidRPr="00ED163F">
        <w:rPr>
          <w:rFonts w:eastAsia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17675" cy="1343660"/>
            <wp:effectExtent l="19050" t="0" r="0" b="0"/>
            <wp:docPr id="5" name="obrázek 5" descr="http://upload.wikimedia.org/wikipedia/commons/thumb/5/5d/Sand_mandala_tibet_2.jpg/180px-Sand_mandala_tibet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d/Sand_mandala_tibet_2.jpg/180px-Sand_mandala_tibet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5F" w:rsidRPr="00ED163F" w:rsidRDefault="00A3025F" w:rsidP="00EC58C3">
      <w:pPr>
        <w:spacing w:after="0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A3025F" w:rsidRPr="00ED163F" w:rsidRDefault="00A3025F" w:rsidP="00EC58C3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  <w:r w:rsidRPr="00ED163F">
        <w:rPr>
          <w:rFonts w:eastAsia="Times New Roman" w:cs="Times New Roman"/>
          <w:b/>
          <w:bCs/>
          <w:sz w:val="20"/>
          <w:szCs w:val="20"/>
          <w:lang w:eastAsia="cs-CZ"/>
        </w:rPr>
        <w:t>Mandala</w:t>
      </w:r>
      <w:r w:rsidRPr="00ED163F">
        <w:rPr>
          <w:rFonts w:eastAsia="Times New Roman" w:cs="Times New Roman"/>
          <w:sz w:val="20"/>
          <w:szCs w:val="20"/>
          <w:lang w:eastAsia="cs-CZ"/>
        </w:rPr>
        <w:t xml:space="preserve"> (</w:t>
      </w:r>
      <w:hyperlink r:id="rId10" w:tooltip="Sanskrt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sanskrt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: </w:t>
      </w:r>
      <w:proofErr w:type="spellStart"/>
      <w:r w:rsidRPr="00ED163F">
        <w:rPr>
          <w:rFonts w:ascii="Mangal" w:eastAsia="Times New Roman" w:hAnsi="Mangal" w:cs="Mangal"/>
          <w:sz w:val="20"/>
          <w:szCs w:val="20"/>
          <w:lang w:eastAsia="cs-CZ"/>
        </w:rPr>
        <w:t>मण</w:t>
      </w:r>
      <w:proofErr w:type="spellEnd"/>
      <w:r w:rsidRPr="00ED163F">
        <w:rPr>
          <w:rFonts w:ascii="Mangal" w:eastAsia="Times New Roman" w:hAnsi="Mangal" w:cs="Mangal"/>
          <w:sz w:val="20"/>
          <w:szCs w:val="20"/>
          <w:lang w:eastAsia="cs-CZ"/>
        </w:rPr>
        <w:t>्</w:t>
      </w:r>
      <w:proofErr w:type="spellStart"/>
      <w:r w:rsidRPr="00ED163F">
        <w:rPr>
          <w:rFonts w:ascii="Mangal" w:eastAsia="Times New Roman" w:hAnsi="Mangal" w:cs="Mangal"/>
          <w:sz w:val="20"/>
          <w:szCs w:val="20"/>
          <w:lang w:eastAsia="cs-CZ"/>
        </w:rPr>
        <w:t>डल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ED163F">
        <w:rPr>
          <w:rFonts w:eastAsia="Times New Roman" w:cs="Times New Roman"/>
          <w:i/>
          <w:iCs/>
          <w:sz w:val="20"/>
          <w:szCs w:val="20"/>
          <w:lang w:eastAsia="cs-CZ"/>
        </w:rPr>
        <w:t>kolo</w:t>
      </w:r>
      <w:r w:rsidRPr="00ED163F">
        <w:rPr>
          <w:rFonts w:eastAsia="Times New Roman" w:cs="Times New Roman"/>
          <w:sz w:val="20"/>
          <w:szCs w:val="20"/>
          <w:lang w:eastAsia="cs-CZ"/>
        </w:rPr>
        <w:t xml:space="preserve">, </w:t>
      </w:r>
      <w:r w:rsidRPr="00ED163F">
        <w:rPr>
          <w:rFonts w:eastAsia="Times New Roman" w:cs="Times New Roman"/>
          <w:i/>
          <w:iCs/>
          <w:sz w:val="20"/>
          <w:szCs w:val="20"/>
          <w:lang w:eastAsia="cs-CZ"/>
        </w:rPr>
        <w:t>oblouk</w:t>
      </w:r>
      <w:r w:rsidRPr="00ED163F">
        <w:rPr>
          <w:rFonts w:eastAsia="Times New Roman" w:cs="Times New Roman"/>
          <w:sz w:val="20"/>
          <w:szCs w:val="20"/>
          <w:lang w:eastAsia="cs-CZ"/>
        </w:rPr>
        <w:t xml:space="preserve">) je harmonické spojení </w:t>
      </w:r>
      <w:hyperlink r:id="rId11" w:tooltip="Kruh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kruhu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 a </w:t>
      </w:r>
      <w:hyperlink r:id="rId12" w:tooltip="Čtverec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čtverce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, kde kolo je symbolem </w:t>
      </w:r>
      <w:hyperlink r:id="rId13" w:tooltip="Nebe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nebe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>, transcedence, vnějších sil a nekonečna, kdežto čtverec představuje vnitřní síly, to, co je spojené s člověkem a zemí. Oba obrazce spojuje centrální bod, který je zároveň počátkem i koncem celého systému.</w:t>
      </w:r>
    </w:p>
    <w:p w:rsidR="00A3025F" w:rsidRPr="00ED163F" w:rsidRDefault="00A3025F" w:rsidP="00EC58C3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  <w:r w:rsidRPr="00ED163F">
        <w:rPr>
          <w:rFonts w:eastAsia="Times New Roman" w:cs="Times New Roman"/>
          <w:sz w:val="20"/>
          <w:szCs w:val="20"/>
          <w:lang w:eastAsia="cs-CZ"/>
        </w:rPr>
        <w:t xml:space="preserve">Existují různé druhy mandal – očišťující, posilující určité vlastnosti či jednotlivé oblasti lidského života. V nejširším smyslu jsou mandaly </w:t>
      </w:r>
      <w:hyperlink r:id="rId14" w:tooltip="Diagram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diagramy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, které ukazují, jak se chaos stává harmonickou formou. Nejstarší obrazce tohoto druhu se vyskytují už v </w:t>
      </w:r>
      <w:hyperlink r:id="rId15" w:tooltip="Paleolit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paleolitu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. Dá se také najít v půdorysu staveb ze starého </w:t>
      </w:r>
      <w:hyperlink r:id="rId16" w:tooltip="Egypt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Egyptu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, </w:t>
      </w:r>
      <w:hyperlink r:id="rId17" w:tooltip="Babylon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Babylónu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 a </w:t>
      </w:r>
      <w:hyperlink r:id="rId18" w:tooltip="Jáva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Jávy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>.</w:t>
      </w:r>
    </w:p>
    <w:p w:rsidR="00A3025F" w:rsidRPr="00ED163F" w:rsidRDefault="00A3025F" w:rsidP="00EC58C3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  <w:r w:rsidRPr="00ED163F">
        <w:rPr>
          <w:rFonts w:eastAsia="Times New Roman" w:cs="Times New Roman"/>
          <w:sz w:val="20"/>
          <w:szCs w:val="20"/>
          <w:lang w:eastAsia="cs-CZ"/>
        </w:rPr>
        <w:t xml:space="preserve">Obrazy se vytvářejí z obarveného </w:t>
      </w:r>
      <w:hyperlink r:id="rId19" w:tooltip="Písek (materiál)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písku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, </w:t>
      </w:r>
      <w:hyperlink r:id="rId20" w:tooltip="Rýže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rýžové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 </w:t>
      </w:r>
      <w:hyperlink r:id="rId21" w:tooltip="Mouka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mouky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 či jiného sypkého materiálu. Jejich tvorba vyžaduje velkou pečlivost a trpělivost, čímž představuje určitý </w:t>
      </w:r>
      <w:hyperlink r:id="rId22" w:tooltip="Rituál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rituál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. Mandala je vytvářena obvykle při příležitosti nějaké slavnosti či obřadu a její forma se řídí smyslem a významem příležitosti, ke které je vytvářena. Tvůrce na jejím povrchu vyjadřuje </w:t>
      </w:r>
      <w:hyperlink r:id="rId23" w:tooltip="Geometrie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geometrickými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 obrazci a pro zasvěcené srozumitelnými symboly svoje vidění světa, přírodních sil, koloběhu </w:t>
      </w:r>
      <w:hyperlink r:id="rId24" w:tooltip="Život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života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, </w:t>
      </w:r>
      <w:hyperlink r:id="rId25" w:tooltip="Astrologie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astrologických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 znamení, božstev i svoje nejniternější náboženské vyznání. Při ukončení slavnosti nebo obřadu, pro který byla mandala vytvořena, je tato veřejně smetena a vržena do řeky, nebo rozprášena po větru.</w:t>
      </w:r>
    </w:p>
    <w:p w:rsidR="00A22CD9" w:rsidRDefault="00A3025F" w:rsidP="00EC58C3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  <w:r w:rsidRPr="00ED163F">
        <w:rPr>
          <w:rFonts w:eastAsia="Times New Roman" w:cs="Times New Roman"/>
          <w:sz w:val="20"/>
          <w:szCs w:val="20"/>
          <w:lang w:eastAsia="cs-CZ"/>
        </w:rPr>
        <w:t xml:space="preserve">Čtyři brány otevírající se do </w:t>
      </w:r>
      <w:proofErr w:type="gramStart"/>
      <w:r w:rsidRPr="00ED163F">
        <w:rPr>
          <w:rFonts w:eastAsia="Times New Roman" w:cs="Times New Roman"/>
          <w:sz w:val="20"/>
          <w:szCs w:val="20"/>
          <w:lang w:eastAsia="cs-CZ"/>
        </w:rPr>
        <w:t>čtyřech</w:t>
      </w:r>
      <w:proofErr w:type="gram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hlavních světových stran (vzpomeňte si na doporučení spát v ose sever-jih, hlavou k severu), směřují ke všemu, co leží mimo naše vědomí, k tomu, co je mimo naši kontrolu, v temnotě, co je ale dosažitelné pomocí různých symbolických hrozných postav – </w:t>
      </w:r>
      <w:hyperlink r:id="rId26" w:tooltip="Démon" w:history="1">
        <w:r w:rsidRPr="00ED163F">
          <w:rPr>
            <w:rFonts w:eastAsia="Times New Roman" w:cs="Times New Roman"/>
            <w:sz w:val="20"/>
            <w:szCs w:val="20"/>
            <w:lang w:eastAsia="cs-CZ"/>
          </w:rPr>
          <w:t>démonů</w:t>
        </w:r>
      </w:hyperlink>
      <w:r w:rsidRPr="00ED163F">
        <w:rPr>
          <w:rFonts w:eastAsia="Times New Roman" w:cs="Times New Roman"/>
          <w:sz w:val="20"/>
          <w:szCs w:val="20"/>
          <w:lang w:eastAsia="cs-CZ"/>
        </w:rPr>
        <w:t xml:space="preserve">. Proto jsou brány často „střeženy“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hrozitánsky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vyhlížejícími strážci (jmenují se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vighnánatakové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, přičemž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vigná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je překážka, tedy ničitelé překážek), kteří nás chrání jak před zlými a nečistými silami zevnitř, ale také před zlými silami v místě, kde konáme rituál mandaly. Mandala znamená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manušja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anda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,kruhová záře kolem člověka a okolo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mýtického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vesmírného obra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puruši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Puruša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byl dle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Rgvédu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rozdělen na díly a z nich vznikli bohové, lidé a světy, kasty indické společnosti.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Nejstaší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půdorysy mandaly objevili archeologové v středoasijské kultuře BMAC,před 4000 lety (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Daschli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). Půdorysy svatyně ohně jsou čtvercové se čtyřmi klasickými branami dle modelu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jantry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. Později se za védské civilizace rozvinul model vesmíru jako času vetknutého do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oběiště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(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védi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) a védský obětní rok byl svázán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paleoastronomickými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obřady. Rok, dny a noci se opakují (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Šatapathabráhmana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) a proto kruh je země a čtverec nebe. Čtverec ohraničovaly body rovnodenností a slunovratů. Jedna polovina roku náležela bohům, druhá předkům. Tyto a mnohé jiné parametry sloužily za podklad védského božiště,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předlohz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mandaly. Do základů božiště se vkládaly obřadní předměty a z toho za buddhismu povstal obyčej mandaly jako stavby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dágoby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, která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ukryvá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zářiče drahokamů, ochrany bohů před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zlymi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silami. Převod védského obětiště do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mahájánového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buddhismu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nejlépedokumentuje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mandala velkého času,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Kálačakra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mandala mudrce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Asangy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. Za buddhistického období vznikly celé stovky mandal od meditačních, kosmologických po léčivé a dodávající zvláštní duševní síly. V křesťanském období se setkáváme s podobnými obrazci s Kristem namísto </w:t>
      </w:r>
      <w:proofErr w:type="gramStart"/>
      <w:r w:rsidRPr="00ED163F">
        <w:rPr>
          <w:rFonts w:eastAsia="Times New Roman" w:cs="Times New Roman"/>
          <w:sz w:val="20"/>
          <w:szCs w:val="20"/>
          <w:lang w:eastAsia="cs-CZ"/>
        </w:rPr>
        <w:t>Buddhou</w:t>
      </w:r>
      <w:proofErr w:type="gram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či horou bohů </w:t>
      </w:r>
      <w:proofErr w:type="spellStart"/>
      <w:r w:rsidRPr="00ED163F">
        <w:rPr>
          <w:rFonts w:eastAsia="Times New Roman" w:cs="Times New Roman"/>
          <w:sz w:val="20"/>
          <w:szCs w:val="20"/>
          <w:lang w:eastAsia="cs-CZ"/>
        </w:rPr>
        <w:t>Méru</w:t>
      </w:r>
      <w:proofErr w:type="spellEnd"/>
      <w:r w:rsidRPr="00ED163F">
        <w:rPr>
          <w:rFonts w:eastAsia="Times New Roman" w:cs="Times New Roman"/>
          <w:sz w:val="20"/>
          <w:szCs w:val="20"/>
          <w:lang w:eastAsia="cs-CZ"/>
        </w:rPr>
        <w:t xml:space="preserve"> uprostřed kopule chrámu. Mandaly jsou živou formou abstraktního ornamentu, která je sice dnes na hony vzdálena původní symbolice a účinu buddhistických děl, ale žije si svým novým uměleckým životem.</w:t>
      </w:r>
    </w:p>
    <w:p w:rsidR="003557FA" w:rsidRDefault="003557FA" w:rsidP="00B34D4D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3557FA" w:rsidRDefault="003557FA" w:rsidP="00B34D4D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3557FA" w:rsidRDefault="003557FA" w:rsidP="00B34D4D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3557FA" w:rsidRDefault="003557FA" w:rsidP="00B34D4D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3557FA" w:rsidRDefault="003557FA" w:rsidP="00B34D4D">
      <w:pPr>
        <w:spacing w:before="100" w:beforeAutospacing="1" w:after="100" w:afterAutospacing="1" w:line="240" w:lineRule="auto"/>
        <w:ind w:left="-851" w:right="-709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E93C75" w:rsidRPr="008B1547" w:rsidRDefault="00E93C75" w:rsidP="00E93C75">
      <w:pPr>
        <w:shd w:val="clear" w:color="auto" w:fill="FFFFFF"/>
        <w:ind w:left="-1134" w:right="-1134"/>
        <w:rPr>
          <w:rFonts w:cs="Arial CE"/>
          <w:b/>
          <w:sz w:val="56"/>
          <w:szCs w:val="56"/>
        </w:rPr>
      </w:pPr>
      <w:r w:rsidRPr="008B1547">
        <w:rPr>
          <w:rFonts w:cs="Arial CE"/>
          <w:sz w:val="56"/>
          <w:szCs w:val="56"/>
        </w:rPr>
        <w:lastRenderedPageBreak/>
        <w:t xml:space="preserve">KRUŽÍTKO 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COMPASS</w:t>
      </w:r>
    </w:p>
    <w:p w:rsidR="00E93C75" w:rsidRPr="008B1547" w:rsidRDefault="00E93C75" w:rsidP="00E93C75">
      <w:pPr>
        <w:shd w:val="clear" w:color="auto" w:fill="FFFFFF"/>
        <w:ind w:left="-1134" w:right="-1134"/>
        <w:rPr>
          <w:rFonts w:cs="Arial CE"/>
          <w:b/>
          <w:sz w:val="56"/>
          <w:szCs w:val="56"/>
        </w:rPr>
      </w:pPr>
      <w:r w:rsidRPr="008B1547">
        <w:rPr>
          <w:rFonts w:cs="Arial CE"/>
          <w:sz w:val="56"/>
          <w:szCs w:val="56"/>
        </w:rPr>
        <w:t xml:space="preserve">PRAVÍTKO 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RULE</w:t>
      </w:r>
    </w:p>
    <w:p w:rsidR="00E93C75" w:rsidRPr="008B1547" w:rsidRDefault="00E93C75" w:rsidP="00E93C75">
      <w:pPr>
        <w:shd w:val="clear" w:color="auto" w:fill="FFFFFF"/>
        <w:ind w:left="-1134" w:right="-1134"/>
        <w:rPr>
          <w:rFonts w:eastAsia="Times New Roman" w:cs="Times New Roman"/>
          <w:sz w:val="56"/>
          <w:szCs w:val="56"/>
          <w:lang w:eastAsia="cs-CZ"/>
        </w:rPr>
      </w:pPr>
      <w:r w:rsidRPr="008B1547">
        <w:rPr>
          <w:rFonts w:cs="Arial CE"/>
          <w:sz w:val="56"/>
          <w:szCs w:val="56"/>
        </w:rPr>
        <w:t xml:space="preserve">TUŽKA 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PENCIL</w:t>
      </w:r>
    </w:p>
    <w:p w:rsidR="00E93C75" w:rsidRPr="008B1547" w:rsidRDefault="00E93C75" w:rsidP="00E93C75">
      <w:pPr>
        <w:shd w:val="clear" w:color="auto" w:fill="FFFFFF"/>
        <w:ind w:left="-1134" w:right="-1134"/>
        <w:rPr>
          <w:rFonts w:cs="Arial CE"/>
          <w:b/>
          <w:sz w:val="56"/>
          <w:szCs w:val="56"/>
        </w:rPr>
      </w:pPr>
      <w:r w:rsidRPr="008B1547">
        <w:rPr>
          <w:rFonts w:cs="Arial CE"/>
          <w:sz w:val="56"/>
          <w:szCs w:val="56"/>
        </w:rPr>
        <w:t xml:space="preserve">STŘED 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CENTRE</w:t>
      </w:r>
    </w:p>
    <w:p w:rsidR="00E93C75" w:rsidRPr="008B1547" w:rsidRDefault="00E93C75" w:rsidP="00E93C75">
      <w:pPr>
        <w:spacing w:before="100" w:beforeAutospacing="1" w:after="100" w:afterAutospacing="1" w:line="240" w:lineRule="auto"/>
        <w:ind w:left="-1134" w:right="-1134"/>
        <w:rPr>
          <w:rFonts w:cs="Arial CE"/>
          <w:b/>
          <w:sz w:val="56"/>
          <w:szCs w:val="56"/>
        </w:rPr>
      </w:pPr>
      <w:r w:rsidRPr="008B1547">
        <w:rPr>
          <w:rFonts w:cs="Arial CE"/>
          <w:sz w:val="56"/>
          <w:szCs w:val="56"/>
        </w:rPr>
        <w:t>BOD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POINT</w:t>
      </w:r>
    </w:p>
    <w:p w:rsidR="00E93C75" w:rsidRPr="008B1547" w:rsidRDefault="00E93C75" w:rsidP="00E93C75">
      <w:pPr>
        <w:spacing w:before="100" w:beforeAutospacing="1" w:after="100" w:afterAutospacing="1" w:line="240" w:lineRule="auto"/>
        <w:ind w:left="-1134" w:right="-1134"/>
        <w:rPr>
          <w:rFonts w:cs="Arial CE"/>
          <w:b/>
          <w:sz w:val="56"/>
          <w:szCs w:val="56"/>
        </w:rPr>
      </w:pPr>
      <w:proofErr w:type="gramStart"/>
      <w:r w:rsidRPr="008B1547">
        <w:rPr>
          <w:rFonts w:cs="Arial CE"/>
          <w:sz w:val="56"/>
          <w:szCs w:val="56"/>
        </w:rPr>
        <w:t>PŘÍMKA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LINE</w:t>
      </w:r>
      <w:proofErr w:type="gramEnd"/>
    </w:p>
    <w:p w:rsidR="00E93C75" w:rsidRPr="008B1547" w:rsidRDefault="00E93C75" w:rsidP="00E93C75">
      <w:pPr>
        <w:spacing w:before="100" w:beforeAutospacing="1" w:after="100" w:afterAutospacing="1" w:line="240" w:lineRule="auto"/>
        <w:ind w:left="-1134" w:right="-1134"/>
        <w:rPr>
          <w:rFonts w:eastAsia="Times New Roman" w:cs="Times New Roman"/>
          <w:sz w:val="56"/>
          <w:szCs w:val="56"/>
          <w:lang w:eastAsia="cs-CZ"/>
        </w:rPr>
      </w:pPr>
      <w:r w:rsidRPr="008B1547">
        <w:rPr>
          <w:rFonts w:cs="Arial CE"/>
          <w:sz w:val="56"/>
          <w:szCs w:val="56"/>
        </w:rPr>
        <w:t>ČTVEREC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SQUARE</w:t>
      </w:r>
      <w:r w:rsidRPr="008B1547">
        <w:rPr>
          <w:rFonts w:eastAsia="Times New Roman" w:cs="Times New Roman"/>
          <w:b/>
          <w:sz w:val="56"/>
          <w:szCs w:val="56"/>
          <w:lang w:eastAsia="cs-CZ"/>
        </w:rPr>
        <w:t xml:space="preserve"> </w:t>
      </w:r>
    </w:p>
    <w:p w:rsidR="00E93C75" w:rsidRPr="008B1547" w:rsidRDefault="00E93C75" w:rsidP="00E93C75">
      <w:pPr>
        <w:spacing w:before="100" w:beforeAutospacing="1" w:after="100" w:afterAutospacing="1" w:line="240" w:lineRule="auto"/>
        <w:ind w:left="-1134" w:right="-1134"/>
        <w:rPr>
          <w:rFonts w:eastAsia="Times New Roman" w:cs="Times New Roman"/>
          <w:b/>
          <w:sz w:val="56"/>
          <w:szCs w:val="56"/>
          <w:lang w:eastAsia="cs-CZ"/>
        </w:rPr>
      </w:pPr>
      <w:r w:rsidRPr="008B1547">
        <w:rPr>
          <w:rFonts w:eastAsia="Times New Roman" w:cs="Times New Roman"/>
          <w:sz w:val="56"/>
          <w:szCs w:val="56"/>
          <w:lang w:eastAsia="cs-CZ"/>
        </w:rPr>
        <w:t>KRUŽNICE</w:t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Pr="008B1547">
        <w:rPr>
          <w:rFonts w:eastAsia="Times New Roman" w:cs="Times New Roman"/>
          <w:b/>
          <w:sz w:val="56"/>
          <w:szCs w:val="56"/>
          <w:lang w:eastAsia="cs-CZ"/>
        </w:rPr>
        <w:t>CIRCLE</w:t>
      </w:r>
    </w:p>
    <w:p w:rsidR="00E93C75" w:rsidRPr="008B1547" w:rsidRDefault="00E93C75" w:rsidP="00E93C75">
      <w:pPr>
        <w:shd w:val="clear" w:color="auto" w:fill="FFFFFF"/>
        <w:ind w:left="-1134" w:right="-1134"/>
        <w:rPr>
          <w:rFonts w:cs="Arial CE"/>
          <w:b/>
          <w:sz w:val="56"/>
          <w:szCs w:val="56"/>
        </w:rPr>
      </w:pPr>
      <w:r w:rsidRPr="008B1547">
        <w:rPr>
          <w:rFonts w:cs="Arial CE"/>
          <w:sz w:val="56"/>
          <w:szCs w:val="56"/>
        </w:rPr>
        <w:t>SOUMĚRNOST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SYMMETRY</w:t>
      </w:r>
    </w:p>
    <w:p w:rsidR="00E93C75" w:rsidRPr="008B1547" w:rsidRDefault="00E93C75" w:rsidP="00E93C75">
      <w:pPr>
        <w:shd w:val="clear" w:color="auto" w:fill="FFFFFF"/>
        <w:ind w:left="-1134" w:right="-1134"/>
        <w:rPr>
          <w:rFonts w:cs="Arial CE"/>
          <w:b/>
          <w:sz w:val="56"/>
          <w:szCs w:val="56"/>
        </w:rPr>
      </w:pPr>
      <w:r w:rsidRPr="008B1547">
        <w:rPr>
          <w:rFonts w:cs="Arial CE"/>
          <w:sz w:val="56"/>
          <w:szCs w:val="56"/>
        </w:rPr>
        <w:t xml:space="preserve">OSOVÁ SOUMĚRNOST 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AXIAL SYMMETRY</w:t>
      </w:r>
    </w:p>
    <w:p w:rsidR="00E93C75" w:rsidRPr="008B1547" w:rsidRDefault="00E93C75" w:rsidP="00E93C75">
      <w:pPr>
        <w:shd w:val="clear" w:color="auto" w:fill="FFFFFF"/>
        <w:ind w:left="-1134" w:right="-1134"/>
        <w:rPr>
          <w:rFonts w:cs="Arial CE"/>
          <w:sz w:val="56"/>
          <w:szCs w:val="56"/>
        </w:rPr>
      </w:pPr>
      <w:r w:rsidRPr="008B1547">
        <w:rPr>
          <w:rFonts w:cs="Arial CE"/>
          <w:sz w:val="56"/>
          <w:szCs w:val="56"/>
        </w:rPr>
        <w:t>STŘEDOVÁ SOUMĚRNOST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CENTRAL SYMMETRY</w:t>
      </w:r>
    </w:p>
    <w:p w:rsidR="00B34D4D" w:rsidRPr="008B1547" w:rsidRDefault="003557FA" w:rsidP="00E93C75">
      <w:pPr>
        <w:spacing w:before="100" w:beforeAutospacing="1" w:after="100" w:afterAutospacing="1" w:line="240" w:lineRule="auto"/>
        <w:ind w:left="-1134" w:right="-1134"/>
        <w:rPr>
          <w:rFonts w:eastAsia="Times New Roman" w:cs="Times New Roman"/>
          <w:b/>
          <w:sz w:val="56"/>
          <w:szCs w:val="56"/>
          <w:lang w:eastAsia="cs-CZ"/>
        </w:rPr>
      </w:pPr>
      <w:r w:rsidRPr="008B1547">
        <w:rPr>
          <w:rFonts w:eastAsia="Times New Roman" w:cs="Times New Roman"/>
          <w:sz w:val="56"/>
          <w:szCs w:val="56"/>
          <w:lang w:eastAsia="cs-CZ"/>
        </w:rPr>
        <w:t>KRUŽNICE VEPSANÁ</w:t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Pr="008B1547">
        <w:rPr>
          <w:rFonts w:eastAsia="Times New Roman" w:cs="Times New Roman"/>
          <w:sz w:val="56"/>
          <w:szCs w:val="56"/>
          <w:lang w:eastAsia="cs-CZ"/>
        </w:rPr>
        <w:tab/>
      </w:r>
      <w:r w:rsidR="00E93C75" w:rsidRPr="008B1547">
        <w:rPr>
          <w:rFonts w:eastAsia="Times New Roman" w:cs="Times New Roman"/>
          <w:sz w:val="56"/>
          <w:szCs w:val="56"/>
          <w:lang w:eastAsia="cs-CZ"/>
        </w:rPr>
        <w:tab/>
      </w:r>
      <w:r w:rsidR="00B34D4D" w:rsidRPr="008B1547">
        <w:rPr>
          <w:rFonts w:eastAsia="Times New Roman" w:cs="Times New Roman"/>
          <w:b/>
          <w:sz w:val="56"/>
          <w:szCs w:val="56"/>
          <w:lang w:eastAsia="cs-CZ"/>
        </w:rPr>
        <w:t>IN-CIRCLE</w:t>
      </w:r>
    </w:p>
    <w:p w:rsidR="003557FA" w:rsidRPr="008B1547" w:rsidRDefault="003557FA" w:rsidP="00E93C75">
      <w:pPr>
        <w:shd w:val="clear" w:color="auto" w:fill="FFFFFF"/>
        <w:ind w:left="-1134" w:right="-1134"/>
        <w:rPr>
          <w:rFonts w:cs="Arial CE"/>
          <w:sz w:val="56"/>
          <w:szCs w:val="56"/>
        </w:rPr>
      </w:pPr>
      <w:r w:rsidRPr="008B1547">
        <w:rPr>
          <w:rFonts w:cs="Arial CE"/>
          <w:sz w:val="56"/>
          <w:szCs w:val="56"/>
        </w:rPr>
        <w:t>KRUŽNICE OPSANÁ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="00E93C75"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CIRCUMSCRIBE</w:t>
      </w:r>
    </w:p>
    <w:p w:rsidR="00B34D4D" w:rsidRPr="008B1547" w:rsidRDefault="003557FA" w:rsidP="00E93C75">
      <w:pPr>
        <w:spacing w:before="100" w:beforeAutospacing="1" w:after="100" w:afterAutospacing="1" w:line="240" w:lineRule="auto"/>
        <w:ind w:left="-1134" w:right="-1134"/>
        <w:rPr>
          <w:rFonts w:cs="Arial CE"/>
          <w:b/>
          <w:sz w:val="56"/>
          <w:szCs w:val="56"/>
        </w:rPr>
      </w:pPr>
      <w:r w:rsidRPr="008B1547">
        <w:rPr>
          <w:rFonts w:cs="Arial CE"/>
          <w:sz w:val="56"/>
          <w:szCs w:val="56"/>
        </w:rPr>
        <w:t>POLOMĚR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="00E93C75"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RADIUS</w:t>
      </w:r>
    </w:p>
    <w:p w:rsidR="003557FA" w:rsidRPr="008B1547" w:rsidRDefault="003557FA" w:rsidP="00E93C75">
      <w:pPr>
        <w:shd w:val="clear" w:color="auto" w:fill="FFFFFF"/>
        <w:ind w:left="-1134" w:right="-1134"/>
        <w:rPr>
          <w:rFonts w:cs="Arial CE"/>
          <w:sz w:val="56"/>
          <w:szCs w:val="56"/>
        </w:rPr>
      </w:pPr>
      <w:r w:rsidRPr="008B1547">
        <w:rPr>
          <w:rFonts w:cs="Arial CE"/>
          <w:sz w:val="56"/>
          <w:szCs w:val="56"/>
        </w:rPr>
        <w:t>POLOMĚR KRUŽNICE OPSANÉ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CIRCUMRADIUS</w:t>
      </w:r>
    </w:p>
    <w:p w:rsidR="008B1547" w:rsidRPr="008B1547" w:rsidRDefault="003557FA" w:rsidP="00E93C75">
      <w:pPr>
        <w:shd w:val="clear" w:color="auto" w:fill="FFFFFF"/>
        <w:ind w:left="-1134" w:right="-993"/>
        <w:rPr>
          <w:rFonts w:eastAsia="Times New Roman" w:cs="Times New Roman"/>
          <w:sz w:val="56"/>
          <w:szCs w:val="56"/>
          <w:lang w:eastAsia="cs-CZ"/>
        </w:rPr>
      </w:pPr>
      <w:r w:rsidRPr="008B1547">
        <w:rPr>
          <w:rFonts w:cs="Arial CE"/>
          <w:sz w:val="56"/>
          <w:szCs w:val="56"/>
        </w:rPr>
        <w:t>KOLMICE</w:t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sz w:val="56"/>
          <w:szCs w:val="56"/>
        </w:rPr>
        <w:tab/>
      </w:r>
      <w:r w:rsidR="00E93C75" w:rsidRPr="008B1547">
        <w:rPr>
          <w:rFonts w:cs="Arial CE"/>
          <w:sz w:val="56"/>
          <w:szCs w:val="56"/>
        </w:rPr>
        <w:tab/>
      </w:r>
      <w:r w:rsidRPr="008B1547">
        <w:rPr>
          <w:rFonts w:cs="Arial CE"/>
          <w:b/>
          <w:sz w:val="56"/>
          <w:szCs w:val="56"/>
        </w:rPr>
        <w:t>PERPENDICULAR</w:t>
      </w:r>
    </w:p>
    <w:sectPr w:rsidR="008B1547" w:rsidRPr="008B1547" w:rsidSect="00EC58C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48" w:rsidRDefault="00754048" w:rsidP="00EA62C0">
      <w:pPr>
        <w:spacing w:after="0" w:line="240" w:lineRule="auto"/>
      </w:pPr>
      <w:r>
        <w:separator/>
      </w:r>
    </w:p>
  </w:endnote>
  <w:endnote w:type="continuationSeparator" w:id="0">
    <w:p w:rsidR="00754048" w:rsidRDefault="00754048" w:rsidP="00E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48" w:rsidRDefault="00754048" w:rsidP="00EA62C0">
      <w:pPr>
        <w:spacing w:after="0" w:line="240" w:lineRule="auto"/>
      </w:pPr>
      <w:r>
        <w:separator/>
      </w:r>
    </w:p>
  </w:footnote>
  <w:footnote w:type="continuationSeparator" w:id="0">
    <w:p w:rsidR="00754048" w:rsidRDefault="00754048" w:rsidP="00EA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5F"/>
    <w:rsid w:val="00062125"/>
    <w:rsid w:val="000E7FB4"/>
    <w:rsid w:val="001010D0"/>
    <w:rsid w:val="002F3771"/>
    <w:rsid w:val="003557FA"/>
    <w:rsid w:val="0048652E"/>
    <w:rsid w:val="006B1EFB"/>
    <w:rsid w:val="00707C1F"/>
    <w:rsid w:val="00754048"/>
    <w:rsid w:val="008712C6"/>
    <w:rsid w:val="008B1547"/>
    <w:rsid w:val="00A3025F"/>
    <w:rsid w:val="00B34D4D"/>
    <w:rsid w:val="00BA0FD6"/>
    <w:rsid w:val="00CC7037"/>
    <w:rsid w:val="00E21997"/>
    <w:rsid w:val="00E60514"/>
    <w:rsid w:val="00E60F70"/>
    <w:rsid w:val="00E71082"/>
    <w:rsid w:val="00E93C75"/>
    <w:rsid w:val="00EA62C0"/>
    <w:rsid w:val="00EC58C3"/>
    <w:rsid w:val="00ED163F"/>
    <w:rsid w:val="00FA6BC9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52E"/>
  </w:style>
  <w:style w:type="paragraph" w:styleId="Nadpis1">
    <w:name w:val="heading 1"/>
    <w:basedOn w:val="Normln"/>
    <w:link w:val="Nadpis1Char"/>
    <w:uiPriority w:val="9"/>
    <w:qFormat/>
    <w:rsid w:val="00A3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3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2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02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02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2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inlinks">
    <w:name w:val="plainlinks"/>
    <w:basedOn w:val="Standardnpsmoodstavce"/>
    <w:rsid w:val="00A3025F"/>
  </w:style>
  <w:style w:type="character" w:customStyle="1" w:styleId="editsection">
    <w:name w:val="editsection"/>
    <w:basedOn w:val="Standardnpsmoodstavce"/>
    <w:rsid w:val="00A3025F"/>
  </w:style>
  <w:style w:type="character" w:customStyle="1" w:styleId="mw-headline">
    <w:name w:val="mw-headline"/>
    <w:basedOn w:val="Standardnpsmoodstavce"/>
    <w:rsid w:val="00A3025F"/>
  </w:style>
  <w:style w:type="paragraph" w:styleId="Textbubliny">
    <w:name w:val="Balloon Text"/>
    <w:basedOn w:val="Normln"/>
    <w:link w:val="TextbublinyChar"/>
    <w:uiPriority w:val="99"/>
    <w:semiHidden/>
    <w:unhideWhenUsed/>
    <w:rsid w:val="00A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2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62C0"/>
  </w:style>
  <w:style w:type="paragraph" w:styleId="Zpat">
    <w:name w:val="footer"/>
    <w:basedOn w:val="Normln"/>
    <w:link w:val="ZpatChar"/>
    <w:uiPriority w:val="99"/>
    <w:semiHidden/>
    <w:unhideWhenUsed/>
    <w:rsid w:val="00EA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6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794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79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350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023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516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389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13329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186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124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3729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3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8861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478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Sand_mandala_tibet_2.jpg" TargetMode="External"/><Relationship Id="rId13" Type="http://schemas.openxmlformats.org/officeDocument/2006/relationships/hyperlink" Target="http://cs.wikipedia.org/wiki/Nebe" TargetMode="External"/><Relationship Id="rId18" Type="http://schemas.openxmlformats.org/officeDocument/2006/relationships/hyperlink" Target="http://cs.wikipedia.org/wiki/J%C3%A1va" TargetMode="External"/><Relationship Id="rId26" Type="http://schemas.openxmlformats.org/officeDocument/2006/relationships/hyperlink" Target="http://cs.wikipedia.org/wiki/D%C3%A9m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s.wikipedia.org/wiki/Mouk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s.wikipedia.org/wiki/%C4%8Ctverec" TargetMode="External"/><Relationship Id="rId17" Type="http://schemas.openxmlformats.org/officeDocument/2006/relationships/hyperlink" Target="http://cs.wikipedia.org/wiki/Babylon" TargetMode="External"/><Relationship Id="rId25" Type="http://schemas.openxmlformats.org/officeDocument/2006/relationships/hyperlink" Target="http://cs.wikipedia.org/wiki/Astrolog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Egypt" TargetMode="External"/><Relationship Id="rId20" Type="http://schemas.openxmlformats.org/officeDocument/2006/relationships/hyperlink" Target="http://cs.wikipedia.org/wiki/R%C3%BD%C5%BE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s.wikipedia.org/wiki/Kruh" TargetMode="External"/><Relationship Id="rId24" Type="http://schemas.openxmlformats.org/officeDocument/2006/relationships/hyperlink" Target="http://cs.wikipedia.org/wiki/%C5%BDivo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s.wikipedia.org/wiki/Paleolit" TargetMode="External"/><Relationship Id="rId23" Type="http://schemas.openxmlformats.org/officeDocument/2006/relationships/hyperlink" Target="http://cs.wikipedia.org/wiki/Geometri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s.wikipedia.org/wiki/Sanskrt" TargetMode="External"/><Relationship Id="rId19" Type="http://schemas.openxmlformats.org/officeDocument/2006/relationships/hyperlink" Target="http://cs.wikipedia.org/wiki/P%C3%ADsek_(materi%C3%A1l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cs.wikipedia.org/wiki/Diagram" TargetMode="External"/><Relationship Id="rId22" Type="http://schemas.openxmlformats.org/officeDocument/2006/relationships/hyperlink" Target="http://cs.wikipedia.org/wiki/Ritu%C3%A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pro_pavlikova_dana</dc:creator>
  <cp:lastModifiedBy>Danca</cp:lastModifiedBy>
  <cp:revision>2</cp:revision>
  <cp:lastPrinted>2010-04-16T09:55:00Z</cp:lastPrinted>
  <dcterms:created xsi:type="dcterms:W3CDTF">2011-06-23T18:18:00Z</dcterms:created>
  <dcterms:modified xsi:type="dcterms:W3CDTF">2011-06-23T18:18:00Z</dcterms:modified>
</cp:coreProperties>
</file>